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41" w:rsidRDefault="00972541" w:rsidP="00972541">
      <w:pPr>
        <w:jc w:val="center"/>
        <w:rPr>
          <w:sz w:val="32"/>
          <w:szCs w:val="32"/>
        </w:rPr>
      </w:pPr>
    </w:p>
    <w:p w:rsidR="003D0B44" w:rsidRDefault="003D0B44" w:rsidP="00972541">
      <w:pPr>
        <w:jc w:val="center"/>
        <w:rPr>
          <w:sz w:val="32"/>
          <w:szCs w:val="32"/>
        </w:rPr>
      </w:pPr>
    </w:p>
    <w:p w:rsidR="00972541" w:rsidRPr="003D0B44" w:rsidRDefault="00336F4D" w:rsidP="009725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Adopted</w:t>
      </w:r>
      <w:r w:rsidR="00972541" w:rsidRPr="003D0B44">
        <w:rPr>
          <w:rFonts w:ascii="Verdana" w:hAnsi="Verdana"/>
          <w:sz w:val="28"/>
          <w:szCs w:val="28"/>
        </w:rPr>
        <w:t xml:space="preserve"> Legislative Agenda for 201</w:t>
      </w:r>
      <w:r w:rsidR="009C49BE">
        <w:rPr>
          <w:rFonts w:ascii="Verdana" w:hAnsi="Verdana"/>
          <w:sz w:val="28"/>
          <w:szCs w:val="28"/>
        </w:rPr>
        <w:t>8</w:t>
      </w:r>
    </w:p>
    <w:p w:rsidR="00972541" w:rsidRDefault="00972541" w:rsidP="00972541">
      <w:pPr>
        <w:jc w:val="center"/>
        <w:rPr>
          <w:rFonts w:ascii="Verdana" w:hAnsi="Verdana"/>
          <w:sz w:val="28"/>
          <w:szCs w:val="28"/>
        </w:rPr>
      </w:pPr>
    </w:p>
    <w:p w:rsidR="003D0B44" w:rsidRPr="003D0B44" w:rsidRDefault="003D0B44" w:rsidP="00972541">
      <w:pPr>
        <w:jc w:val="center"/>
        <w:rPr>
          <w:rFonts w:ascii="Verdana" w:hAnsi="Verdana"/>
          <w:sz w:val="28"/>
          <w:szCs w:val="28"/>
        </w:rPr>
      </w:pPr>
    </w:p>
    <w:p w:rsidR="005A6483" w:rsidRDefault="005A6483" w:rsidP="005A6483">
      <w:pPr>
        <w:jc w:val="both"/>
        <w:rPr>
          <w:rFonts w:ascii="Verdana" w:hAnsi="Verdana"/>
        </w:rPr>
      </w:pPr>
      <w:r>
        <w:rPr>
          <w:rFonts w:ascii="Verdana" w:hAnsi="Verdana"/>
        </w:rPr>
        <w:t>Support legislation to improve BBHE license portability</w:t>
      </w:r>
    </w:p>
    <w:p w:rsidR="005A6483" w:rsidRDefault="005A6483" w:rsidP="005A6483">
      <w:pPr>
        <w:jc w:val="both"/>
        <w:rPr>
          <w:rFonts w:ascii="Verdana" w:hAnsi="Verdana"/>
        </w:rPr>
      </w:pPr>
    </w:p>
    <w:p w:rsidR="003D0B44" w:rsidRPr="003D0B44" w:rsidRDefault="003D0B44" w:rsidP="003D0B44">
      <w:pPr>
        <w:jc w:val="both"/>
        <w:rPr>
          <w:rFonts w:ascii="Verdana" w:hAnsi="Verdana"/>
        </w:rPr>
      </w:pPr>
      <w:r w:rsidRPr="003D0B44">
        <w:rPr>
          <w:rFonts w:ascii="Verdana" w:hAnsi="Verdana"/>
        </w:rPr>
        <w:t xml:space="preserve">Support </w:t>
      </w:r>
      <w:r>
        <w:rPr>
          <w:rFonts w:ascii="Verdana" w:hAnsi="Verdana"/>
        </w:rPr>
        <w:t xml:space="preserve">the work of the </w:t>
      </w:r>
      <w:r w:rsidRPr="003D0B44">
        <w:rPr>
          <w:rFonts w:ascii="Verdana" w:hAnsi="Verdana"/>
        </w:rPr>
        <w:t>study committee and possible legislation regarding “</w:t>
      </w:r>
      <w:proofErr w:type="spellStart"/>
      <w:r w:rsidRPr="003D0B44">
        <w:rPr>
          <w:rFonts w:ascii="Verdana" w:hAnsi="Verdana"/>
        </w:rPr>
        <w:t>Nonrestorable</w:t>
      </w:r>
      <w:proofErr w:type="spellEnd"/>
      <w:r w:rsidRPr="003D0B44">
        <w:rPr>
          <w:rFonts w:ascii="Verdana" w:hAnsi="Verdana"/>
        </w:rPr>
        <w:t>” defendants</w:t>
      </w:r>
    </w:p>
    <w:p w:rsidR="003D0B44" w:rsidRDefault="003D0B44" w:rsidP="00972541">
      <w:pPr>
        <w:jc w:val="both"/>
        <w:rPr>
          <w:rFonts w:ascii="Verdana" w:hAnsi="Verdana"/>
        </w:rPr>
      </w:pPr>
    </w:p>
    <w:p w:rsidR="00111E09" w:rsidRDefault="00111E09" w:rsidP="009725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Support legislation for funding a single </w:t>
      </w:r>
      <w:bookmarkStart w:id="0" w:name="_GoBack"/>
      <w:bookmarkEnd w:id="0"/>
      <w:r>
        <w:rPr>
          <w:rFonts w:ascii="Verdana" w:hAnsi="Verdana"/>
        </w:rPr>
        <w:t>statewide 211 Community Information and Referral line</w:t>
      </w:r>
    </w:p>
    <w:p w:rsidR="00111E09" w:rsidRDefault="00111E09" w:rsidP="00972541">
      <w:pPr>
        <w:jc w:val="both"/>
        <w:rPr>
          <w:rFonts w:ascii="Verdana" w:hAnsi="Verdana"/>
        </w:rPr>
      </w:pPr>
    </w:p>
    <w:p w:rsidR="009572DA" w:rsidRDefault="009572DA" w:rsidP="00972541">
      <w:pPr>
        <w:jc w:val="both"/>
        <w:rPr>
          <w:rFonts w:ascii="Verdana" w:hAnsi="Verdana"/>
        </w:rPr>
      </w:pPr>
      <w:r>
        <w:rPr>
          <w:rFonts w:ascii="Verdana" w:hAnsi="Verdana"/>
        </w:rPr>
        <w:t>Monitor Ad Hoc Committee on Healthcare Workforce Data</w:t>
      </w:r>
    </w:p>
    <w:p w:rsidR="009572DA" w:rsidRDefault="009572DA" w:rsidP="00972541">
      <w:pPr>
        <w:jc w:val="both"/>
        <w:rPr>
          <w:rFonts w:ascii="Verdana" w:hAnsi="Verdana"/>
        </w:rPr>
      </w:pPr>
    </w:p>
    <w:p w:rsidR="009572DA" w:rsidRDefault="009572DA" w:rsidP="009725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Monitor DCS legislation </w:t>
      </w:r>
      <w:r w:rsidR="009B3DA8">
        <w:rPr>
          <w:rFonts w:ascii="Verdana" w:hAnsi="Verdana"/>
        </w:rPr>
        <w:t xml:space="preserve">and policies </w:t>
      </w:r>
      <w:r>
        <w:rPr>
          <w:rFonts w:ascii="Verdana" w:hAnsi="Verdana"/>
        </w:rPr>
        <w:t xml:space="preserve">related to report consolidation, warrants/pick up orders, exigent circumstances, trauma informed care, </w:t>
      </w:r>
      <w:r w:rsidR="009B3DA8">
        <w:rPr>
          <w:rFonts w:ascii="Verdana" w:hAnsi="Verdana"/>
        </w:rPr>
        <w:t xml:space="preserve">child welfare agency licensing, </w:t>
      </w:r>
      <w:r>
        <w:rPr>
          <w:rFonts w:ascii="Verdana" w:hAnsi="Verdana"/>
        </w:rPr>
        <w:t>and others</w:t>
      </w:r>
    </w:p>
    <w:p w:rsidR="009572DA" w:rsidRDefault="009572DA" w:rsidP="00972541">
      <w:pPr>
        <w:jc w:val="both"/>
        <w:rPr>
          <w:rFonts w:ascii="Verdana" w:hAnsi="Verdana"/>
        </w:rPr>
      </w:pPr>
    </w:p>
    <w:p w:rsidR="009572DA" w:rsidRDefault="009572DA" w:rsidP="009725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Monitor legislation </w:t>
      </w:r>
      <w:r w:rsidR="009B3DA8">
        <w:rPr>
          <w:rFonts w:ascii="Verdana" w:hAnsi="Verdana"/>
        </w:rPr>
        <w:t xml:space="preserve">and policies </w:t>
      </w:r>
      <w:r>
        <w:rPr>
          <w:rFonts w:ascii="Verdana" w:hAnsi="Verdana"/>
        </w:rPr>
        <w:t>impacting the Children’s System of Behavioral Health Care</w:t>
      </w:r>
    </w:p>
    <w:p w:rsidR="009572DA" w:rsidRDefault="009572DA" w:rsidP="00972541">
      <w:pPr>
        <w:jc w:val="both"/>
        <w:rPr>
          <w:rFonts w:ascii="Verdana" w:hAnsi="Verdana"/>
        </w:rPr>
      </w:pPr>
    </w:p>
    <w:p w:rsidR="009572DA" w:rsidRDefault="009572DA" w:rsidP="009725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Monitor legislation regarding </w:t>
      </w:r>
      <w:r w:rsidR="005A6483">
        <w:rPr>
          <w:rFonts w:ascii="Verdana" w:hAnsi="Verdana"/>
        </w:rPr>
        <w:t>P</w:t>
      </w:r>
      <w:r>
        <w:rPr>
          <w:rFonts w:ascii="Verdana" w:hAnsi="Verdana"/>
        </w:rPr>
        <w:t xml:space="preserve">eace </w:t>
      </w:r>
      <w:r w:rsidR="005A6483">
        <w:rPr>
          <w:rFonts w:ascii="Verdana" w:hAnsi="Verdana"/>
        </w:rPr>
        <w:t>O</w:t>
      </w:r>
      <w:r>
        <w:rPr>
          <w:rFonts w:ascii="Verdana" w:hAnsi="Verdana"/>
        </w:rPr>
        <w:t>ffice</w:t>
      </w:r>
      <w:r w:rsidR="005A6483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="005A6483">
        <w:rPr>
          <w:rFonts w:ascii="Verdana" w:hAnsi="Verdana"/>
        </w:rPr>
        <w:t>T</w:t>
      </w:r>
      <w:r>
        <w:rPr>
          <w:rFonts w:ascii="Verdana" w:hAnsi="Verdana"/>
        </w:rPr>
        <w:t xml:space="preserve">ransport </w:t>
      </w:r>
      <w:r w:rsidR="009B3DA8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="005A6483">
        <w:rPr>
          <w:rFonts w:ascii="Verdana" w:hAnsi="Verdana"/>
        </w:rPr>
        <w:t>P</w:t>
      </w:r>
      <w:r>
        <w:rPr>
          <w:rFonts w:ascii="Verdana" w:hAnsi="Verdana"/>
        </w:rPr>
        <w:t xml:space="preserve">sych </w:t>
      </w:r>
      <w:r w:rsidR="005A6483">
        <w:rPr>
          <w:rFonts w:ascii="Verdana" w:hAnsi="Verdana"/>
        </w:rPr>
        <w:t>B</w:t>
      </w:r>
      <w:r>
        <w:rPr>
          <w:rFonts w:ascii="Verdana" w:hAnsi="Verdana"/>
        </w:rPr>
        <w:t>oarding</w:t>
      </w:r>
      <w:r w:rsidR="009B3DA8">
        <w:rPr>
          <w:rFonts w:ascii="Verdana" w:hAnsi="Verdana"/>
        </w:rPr>
        <w:t xml:space="preserve"> / Court Ordered Evaluation and Treatment</w:t>
      </w:r>
      <w:r w:rsidR="00111E09">
        <w:rPr>
          <w:rFonts w:ascii="Verdana" w:hAnsi="Verdana"/>
        </w:rPr>
        <w:t xml:space="preserve"> / Sober Living Homes</w:t>
      </w:r>
    </w:p>
    <w:p w:rsidR="009572DA" w:rsidRDefault="009572DA" w:rsidP="00972541">
      <w:pPr>
        <w:jc w:val="both"/>
        <w:rPr>
          <w:rFonts w:ascii="Verdana" w:hAnsi="Verdana"/>
        </w:rPr>
      </w:pPr>
    </w:p>
    <w:p w:rsidR="009572DA" w:rsidRPr="003D0B44" w:rsidRDefault="009572DA" w:rsidP="00972541">
      <w:pPr>
        <w:jc w:val="both"/>
        <w:rPr>
          <w:rFonts w:ascii="Verdana" w:hAnsi="Verdana"/>
        </w:rPr>
      </w:pPr>
      <w:r w:rsidRPr="003D0B44">
        <w:rPr>
          <w:rFonts w:ascii="Verdana" w:hAnsi="Verdana"/>
        </w:rPr>
        <w:t xml:space="preserve">Monitor legislation regarding </w:t>
      </w:r>
      <w:r w:rsidR="005A6483">
        <w:rPr>
          <w:rFonts w:ascii="Verdana" w:hAnsi="Verdana"/>
        </w:rPr>
        <w:t>P</w:t>
      </w:r>
      <w:r w:rsidRPr="003D0B44">
        <w:rPr>
          <w:rFonts w:ascii="Verdana" w:hAnsi="Verdana"/>
        </w:rPr>
        <w:t xml:space="preserve">rofessional </w:t>
      </w:r>
      <w:r w:rsidR="005A6483">
        <w:rPr>
          <w:rFonts w:ascii="Verdana" w:hAnsi="Verdana"/>
        </w:rPr>
        <w:t>L</w:t>
      </w:r>
      <w:r w:rsidRPr="003D0B44">
        <w:rPr>
          <w:rFonts w:ascii="Verdana" w:hAnsi="Verdana"/>
        </w:rPr>
        <w:t xml:space="preserve">icensing </w:t>
      </w:r>
      <w:r w:rsidR="005A6483">
        <w:rPr>
          <w:rFonts w:ascii="Verdana" w:hAnsi="Verdana"/>
        </w:rPr>
        <w:t>B</w:t>
      </w:r>
      <w:r w:rsidRPr="003D0B44">
        <w:rPr>
          <w:rFonts w:ascii="Verdana" w:hAnsi="Verdana"/>
        </w:rPr>
        <w:t>oards</w:t>
      </w:r>
    </w:p>
    <w:p w:rsidR="00251876" w:rsidRDefault="00251876" w:rsidP="00251876">
      <w:pPr>
        <w:jc w:val="both"/>
        <w:rPr>
          <w:rFonts w:ascii="Verdana" w:hAnsi="Verdana"/>
        </w:rPr>
      </w:pPr>
    </w:p>
    <w:p w:rsidR="009572DA" w:rsidRDefault="009572DA" w:rsidP="00972541">
      <w:pPr>
        <w:jc w:val="both"/>
        <w:rPr>
          <w:rFonts w:ascii="Verdana" w:hAnsi="Verdana"/>
        </w:rPr>
      </w:pPr>
      <w:r w:rsidRPr="003D0B44">
        <w:rPr>
          <w:rFonts w:ascii="Verdana" w:hAnsi="Verdana"/>
        </w:rPr>
        <w:t>Monitor state and federal legislation that could impact Medicaid</w:t>
      </w:r>
      <w:r w:rsidR="00251876">
        <w:rPr>
          <w:rFonts w:ascii="Verdana" w:hAnsi="Verdana"/>
        </w:rPr>
        <w:t xml:space="preserve">, Medicare, and </w:t>
      </w:r>
      <w:proofErr w:type="spellStart"/>
      <w:r w:rsidR="00251876">
        <w:rPr>
          <w:rFonts w:ascii="Verdana" w:hAnsi="Verdana"/>
        </w:rPr>
        <w:t>KidsCare</w:t>
      </w:r>
      <w:proofErr w:type="spellEnd"/>
      <w:r w:rsidR="00336F4D">
        <w:rPr>
          <w:rFonts w:ascii="Verdana" w:hAnsi="Verdana"/>
        </w:rPr>
        <w:t xml:space="preserve"> funding</w:t>
      </w:r>
    </w:p>
    <w:p w:rsidR="00336F4D" w:rsidRDefault="00336F4D" w:rsidP="00972541">
      <w:pPr>
        <w:jc w:val="both"/>
        <w:rPr>
          <w:rFonts w:ascii="Verdana" w:hAnsi="Verdana"/>
        </w:rPr>
      </w:pPr>
    </w:p>
    <w:p w:rsidR="00336F4D" w:rsidRPr="003D0B44" w:rsidRDefault="00336F4D" w:rsidP="00972541">
      <w:pPr>
        <w:jc w:val="both"/>
        <w:rPr>
          <w:rFonts w:ascii="Verdana" w:hAnsi="Verdana"/>
        </w:rPr>
      </w:pPr>
      <w:r>
        <w:rPr>
          <w:rFonts w:ascii="Verdana" w:hAnsi="Verdana"/>
        </w:rPr>
        <w:t>Monitor state and federal opioid related legislation and policy related to access to treatment and use of evidence based practices.</w:t>
      </w:r>
    </w:p>
    <w:p w:rsidR="009572DA" w:rsidRDefault="009572DA" w:rsidP="00972541">
      <w:pPr>
        <w:jc w:val="both"/>
        <w:rPr>
          <w:rFonts w:ascii="Verdana" w:hAnsi="Verdana"/>
        </w:rPr>
      </w:pPr>
    </w:p>
    <w:p w:rsidR="009572DA" w:rsidRDefault="009572DA" w:rsidP="00972541">
      <w:pPr>
        <w:jc w:val="both"/>
        <w:rPr>
          <w:rFonts w:ascii="Verdana" w:hAnsi="Verdana"/>
        </w:rPr>
      </w:pPr>
      <w:r w:rsidRPr="003D0B44">
        <w:rPr>
          <w:rFonts w:ascii="Verdana" w:hAnsi="Verdana"/>
        </w:rPr>
        <w:t xml:space="preserve">Monitor state </w:t>
      </w:r>
      <w:r w:rsidR="00251876">
        <w:rPr>
          <w:rFonts w:ascii="Verdana" w:hAnsi="Verdana"/>
        </w:rPr>
        <w:t xml:space="preserve">and federal policy, </w:t>
      </w:r>
      <w:r w:rsidRPr="003D0B44">
        <w:rPr>
          <w:rFonts w:ascii="Verdana" w:hAnsi="Verdana"/>
        </w:rPr>
        <w:t>budget</w:t>
      </w:r>
      <w:r w:rsidR="00251876">
        <w:rPr>
          <w:rFonts w:ascii="Verdana" w:hAnsi="Verdana"/>
        </w:rPr>
        <w:t>s,</w:t>
      </w:r>
      <w:r w:rsidRPr="003D0B44">
        <w:rPr>
          <w:rFonts w:ascii="Verdana" w:hAnsi="Verdana"/>
        </w:rPr>
        <w:t xml:space="preserve"> and funding allocations for </w:t>
      </w:r>
      <w:r w:rsidR="00251876">
        <w:rPr>
          <w:rFonts w:ascii="Verdana" w:hAnsi="Verdana"/>
        </w:rPr>
        <w:t xml:space="preserve">mental health, substance use disorder, and </w:t>
      </w:r>
      <w:r w:rsidRPr="003D0B44">
        <w:rPr>
          <w:rFonts w:ascii="Verdana" w:hAnsi="Verdana"/>
        </w:rPr>
        <w:t>child welfare</w:t>
      </w:r>
      <w:r w:rsidR="00251876">
        <w:rPr>
          <w:rFonts w:ascii="Verdana" w:hAnsi="Verdana"/>
        </w:rPr>
        <w:t xml:space="preserve"> programs, and essential service programs for low income families like nutrition assistance, public benefits, and housing</w:t>
      </w:r>
    </w:p>
    <w:p w:rsidR="004503EC" w:rsidRDefault="004503EC" w:rsidP="00972541">
      <w:pPr>
        <w:jc w:val="both"/>
        <w:rPr>
          <w:rFonts w:ascii="Verdana" w:hAnsi="Verdana"/>
        </w:rPr>
      </w:pPr>
    </w:p>
    <w:sectPr w:rsidR="004503EC" w:rsidSect="00860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9C" w:rsidRDefault="00FF459C" w:rsidP="00FF459C">
      <w:r>
        <w:separator/>
      </w:r>
    </w:p>
  </w:endnote>
  <w:endnote w:type="continuationSeparator" w:id="0">
    <w:p w:rsidR="00FF459C" w:rsidRDefault="00FF459C" w:rsidP="00F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2" w:rsidRDefault="009C5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9C" w:rsidRPr="0020745A" w:rsidRDefault="00CA069A" w:rsidP="0020745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Supporting</w:t>
    </w:r>
    <w:r w:rsidR="00FF459C" w:rsidRPr="0020745A">
      <w:rPr>
        <w:rFonts w:ascii="Arial" w:hAnsi="Arial" w:cs="Arial"/>
        <w:sz w:val="20"/>
        <w:szCs w:val="20"/>
      </w:rPr>
      <w:t xml:space="preserve"> the work of our member organizations to improve the lives of Arizona’s diverse populations.</w:t>
    </w:r>
  </w:p>
  <w:p w:rsidR="0020745A" w:rsidRPr="0020745A" w:rsidRDefault="0020745A" w:rsidP="00A76510">
    <w:pPr>
      <w:pStyle w:val="Header"/>
      <w:jc w:val="center"/>
      <w:rPr>
        <w:rFonts w:ascii="Arial" w:hAnsi="Arial" w:cs="Arial"/>
        <w:sz w:val="20"/>
        <w:szCs w:val="20"/>
      </w:rPr>
    </w:pPr>
    <w:r w:rsidRPr="0020745A">
      <w:rPr>
        <w:rFonts w:ascii="Arial" w:hAnsi="Arial" w:cs="Arial"/>
        <w:sz w:val="20"/>
        <w:szCs w:val="20"/>
      </w:rPr>
      <w:t xml:space="preserve">For more information about the </w:t>
    </w:r>
    <w:r>
      <w:rPr>
        <w:rFonts w:ascii="Arial" w:hAnsi="Arial" w:cs="Arial"/>
        <w:sz w:val="20"/>
        <w:szCs w:val="20"/>
      </w:rPr>
      <w:t xml:space="preserve">Arizona </w:t>
    </w:r>
    <w:r w:rsidRPr="0020745A">
      <w:rPr>
        <w:rFonts w:ascii="Arial" w:hAnsi="Arial" w:cs="Arial"/>
        <w:sz w:val="20"/>
        <w:szCs w:val="20"/>
      </w:rPr>
      <w:t>Council</w:t>
    </w:r>
    <w:r w:rsidR="00A76510">
      <w:rPr>
        <w:rFonts w:ascii="Arial" w:hAnsi="Arial" w:cs="Arial"/>
        <w:sz w:val="20"/>
        <w:szCs w:val="20"/>
      </w:rPr>
      <w:t xml:space="preserve"> of Human Service Providers</w:t>
    </w:r>
    <w:r w:rsidRPr="0020745A">
      <w:rPr>
        <w:rFonts w:ascii="Arial" w:hAnsi="Arial" w:cs="Arial"/>
        <w:sz w:val="20"/>
        <w:szCs w:val="20"/>
      </w:rPr>
      <w:t xml:space="preserve"> go to </w:t>
    </w:r>
    <w:hyperlink r:id="rId1" w:history="1">
      <w:r w:rsidRPr="0020745A">
        <w:rPr>
          <w:rStyle w:val="Hyperlink"/>
          <w:rFonts w:ascii="Arial" w:hAnsi="Arial" w:cs="Arial"/>
          <w:sz w:val="20"/>
          <w:szCs w:val="20"/>
        </w:rPr>
        <w:t>www.azcouncil.com</w:t>
      </w:r>
    </w:hyperlink>
    <w:r w:rsidRPr="0020745A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2" w:rsidRDefault="009C5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9C" w:rsidRDefault="00FF459C" w:rsidP="00FF459C">
      <w:r>
        <w:separator/>
      </w:r>
    </w:p>
  </w:footnote>
  <w:footnote w:type="continuationSeparator" w:id="0">
    <w:p w:rsidR="00FF459C" w:rsidRDefault="00FF459C" w:rsidP="00FF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2" w:rsidRDefault="009C5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9A" w:rsidRDefault="00BA67AF" w:rsidP="00BA67AF">
    <w:pPr>
      <w:pStyle w:val="Header"/>
      <w:jc w:val="center"/>
    </w:pPr>
    <w:r>
      <w:rPr>
        <w:noProof/>
      </w:rPr>
      <w:drawing>
        <wp:inline distT="0" distB="0" distL="0" distR="0" wp14:anchorId="6157883E" wp14:editId="7612A3D0">
          <wp:extent cx="1466850" cy="880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2" w:rsidRDefault="009C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C"/>
    <w:rsid w:val="00020B62"/>
    <w:rsid w:val="00072E5F"/>
    <w:rsid w:val="00077C89"/>
    <w:rsid w:val="000B468B"/>
    <w:rsid w:val="000E2FD4"/>
    <w:rsid w:val="000F0708"/>
    <w:rsid w:val="001035B3"/>
    <w:rsid w:val="00111E09"/>
    <w:rsid w:val="00114299"/>
    <w:rsid w:val="0016690F"/>
    <w:rsid w:val="0020745A"/>
    <w:rsid w:val="00214747"/>
    <w:rsid w:val="00251876"/>
    <w:rsid w:val="002A1FDF"/>
    <w:rsid w:val="002E262F"/>
    <w:rsid w:val="002E3E58"/>
    <w:rsid w:val="00336F4D"/>
    <w:rsid w:val="003A4528"/>
    <w:rsid w:val="003D0B44"/>
    <w:rsid w:val="0042652C"/>
    <w:rsid w:val="004503EC"/>
    <w:rsid w:val="004B5067"/>
    <w:rsid w:val="005603EA"/>
    <w:rsid w:val="005A6483"/>
    <w:rsid w:val="006C0D79"/>
    <w:rsid w:val="00784176"/>
    <w:rsid w:val="008608BB"/>
    <w:rsid w:val="00886261"/>
    <w:rsid w:val="009572DA"/>
    <w:rsid w:val="00972541"/>
    <w:rsid w:val="009B3DA8"/>
    <w:rsid w:val="009C49BE"/>
    <w:rsid w:val="009C5BD2"/>
    <w:rsid w:val="009E41DE"/>
    <w:rsid w:val="00A71C1D"/>
    <w:rsid w:val="00A76510"/>
    <w:rsid w:val="00AF2F61"/>
    <w:rsid w:val="00BA67AF"/>
    <w:rsid w:val="00BD1564"/>
    <w:rsid w:val="00BF4E8A"/>
    <w:rsid w:val="00C1753C"/>
    <w:rsid w:val="00CA069A"/>
    <w:rsid w:val="00CE4BC6"/>
    <w:rsid w:val="00D9233F"/>
    <w:rsid w:val="00E01BF3"/>
    <w:rsid w:val="00EA537E"/>
    <w:rsid w:val="00ED12E8"/>
    <w:rsid w:val="00EE24D7"/>
    <w:rsid w:val="00F30A0C"/>
    <w:rsid w:val="00FC38B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23693F"/>
  <w15:docId w15:val="{37E363B3-0AAF-4F73-AEEA-7103E56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D79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59C"/>
  </w:style>
  <w:style w:type="character" w:customStyle="1" w:styleId="Heading1Char">
    <w:name w:val="Heading 1 Char"/>
    <w:basedOn w:val="DefaultParagraphFont"/>
    <w:link w:val="Heading1"/>
    <w:rsid w:val="006C0D7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counc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Dedolph</cp:lastModifiedBy>
  <cp:revision>2</cp:revision>
  <cp:lastPrinted>2017-11-05T22:25:00Z</cp:lastPrinted>
  <dcterms:created xsi:type="dcterms:W3CDTF">2017-12-08T00:48:00Z</dcterms:created>
  <dcterms:modified xsi:type="dcterms:W3CDTF">2017-12-08T00:48:00Z</dcterms:modified>
</cp:coreProperties>
</file>